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28F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TISKOVÁ ZPRÁVA</w:t>
      </w:r>
    </w:p>
    <w:p w14:paraId="698C23FE" w14:textId="77777777" w:rsidR="00A07610" w:rsidRDefault="00FC4E93">
      <w:pPr>
        <w:jc w:val="both"/>
        <w:rPr>
          <w:rFonts w:ascii="Cambria" w:eastAsia="Cambria" w:hAnsi="Cambria" w:cs="Cambri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 xml:space="preserve">Mladých lidí s duševními potížemi přibývá. Pomoc je omezená. Dnes založená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Twisten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Foundation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to chce změnit</w:t>
      </w:r>
    </w:p>
    <w:p w14:paraId="404DC4A1" w14:textId="77777777" w:rsidR="00A07610" w:rsidRDefault="00FC4E93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Praha 4. 12. 2023</w:t>
      </w:r>
      <w:r>
        <w:rPr>
          <w:rFonts w:ascii="Cambria" w:eastAsia="Cambria" w:hAnsi="Cambria" w:cs="Cambria"/>
          <w:b/>
        </w:rPr>
        <w:t xml:space="preserve"> – Pomáhat dospívajícím, kteří čelí psychickým problémům, využít k tomu moderní komunikaci: například podporovat speciální projekty zaměřené na </w:t>
      </w:r>
      <w:proofErr w:type="spellStart"/>
      <w:r>
        <w:rPr>
          <w:rFonts w:ascii="Cambria" w:eastAsia="Cambria" w:hAnsi="Cambria" w:cs="Cambria"/>
          <w:b/>
        </w:rPr>
        <w:t>esport</w:t>
      </w:r>
      <w:proofErr w:type="spellEnd"/>
      <w:r>
        <w:rPr>
          <w:rFonts w:ascii="Cambria" w:eastAsia="Cambria" w:hAnsi="Cambria" w:cs="Cambria"/>
          <w:b/>
        </w:rPr>
        <w:t>. To všechno i mnohé další má v úmyslu nově založený nadační fond, který navazuje na mimořádně silný odkaz Karla „</w:t>
      </w:r>
      <w:proofErr w:type="spellStart"/>
      <w:r>
        <w:rPr>
          <w:rFonts w:ascii="Cambria" w:eastAsia="Cambria" w:hAnsi="Cambria" w:cs="Cambria"/>
          <w:b/>
        </w:rPr>
        <w:t>Twistena</w:t>
      </w:r>
      <w:proofErr w:type="spellEnd"/>
      <w:r>
        <w:rPr>
          <w:rFonts w:ascii="Cambria" w:eastAsia="Cambria" w:hAnsi="Cambria" w:cs="Cambria"/>
          <w:b/>
        </w:rPr>
        <w:t xml:space="preserve">“ </w:t>
      </w:r>
      <w:proofErr w:type="spellStart"/>
      <w:r>
        <w:rPr>
          <w:rFonts w:ascii="Cambria" w:eastAsia="Cambria" w:hAnsi="Cambria" w:cs="Cambria"/>
          <w:b/>
        </w:rPr>
        <w:t>Ašenbrenera</w:t>
      </w:r>
      <w:proofErr w:type="spellEnd"/>
      <w:r>
        <w:rPr>
          <w:rFonts w:ascii="Cambria" w:eastAsia="Cambria" w:hAnsi="Cambria" w:cs="Cambria"/>
          <w:b/>
        </w:rPr>
        <w:t xml:space="preserve">, talentovaného </w:t>
      </w:r>
      <w:proofErr w:type="spellStart"/>
      <w:r>
        <w:rPr>
          <w:rFonts w:ascii="Cambria" w:eastAsia="Cambria" w:hAnsi="Cambria" w:cs="Cambria"/>
          <w:b/>
        </w:rPr>
        <w:t>esportového</w:t>
      </w:r>
      <w:proofErr w:type="spellEnd"/>
      <w:r>
        <w:rPr>
          <w:rFonts w:ascii="Cambria" w:eastAsia="Cambria" w:hAnsi="Cambria" w:cs="Cambria"/>
          <w:b/>
        </w:rPr>
        <w:t xml:space="preserve"> hráče, který si po boji s depresí letos v červnu vzal život. </w:t>
      </w:r>
    </w:p>
    <w:p w14:paraId="027D29E9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Karlova rodina, která za založením nadačního fondu stojí, věnovala základní jmění. Přispěje i francouzský </w:t>
      </w:r>
      <w:proofErr w:type="spellStart"/>
      <w:r>
        <w:rPr>
          <w:rFonts w:ascii="Cambria" w:eastAsia="Cambria" w:hAnsi="Cambria" w:cs="Cambria"/>
          <w:sz w:val="24"/>
          <w:szCs w:val="24"/>
        </w:rPr>
        <w:t>esportový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tým Vitality, v němž </w:t>
      </w:r>
      <w:proofErr w:type="spellStart"/>
      <w:r>
        <w:rPr>
          <w:rFonts w:ascii="Cambria" w:eastAsia="Cambria" w:hAnsi="Cambria" w:cs="Cambria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úspěšně působil. Významnou finanční podporu nabídne společnost Sazka, která u příležitosti vzniku nadace uspořádá 15. 12. 2023 charitativní </w:t>
      </w:r>
      <w:proofErr w:type="spellStart"/>
      <w:r>
        <w:rPr>
          <w:rFonts w:ascii="Cambria" w:eastAsia="Cambria" w:hAnsi="Cambria" w:cs="Cambria"/>
          <w:sz w:val="24"/>
          <w:szCs w:val="24"/>
        </w:rPr>
        <w:t>esportový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turnaj.</w:t>
      </w:r>
    </w:p>
    <w:p w14:paraId="16BD85D2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Karel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Ašenbrener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v 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esportové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komunitě známý jako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by právě dnes oslavil dvacáté narozeniny. Svůj boj s depresí ale nakonec prohrál. „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Karlův odchod je pro celou rodinu pořád velmi bolestivý. Ale právě kvůli němu jsme se rozhodli přetavit bolest v něco smysluplného. Tím je nadační fond, jehož cílem bude pomáhat mladým lidem s psychickými problémy. Jsem si jistá, že by s tím syn souhlasil a podporoval to,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” říká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Twistenova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matka Ivana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Ašenbrenerová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také za svého manžela a další dva syny.</w:t>
      </w:r>
    </w:p>
    <w:p w14:paraId="7FC38947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Nadační fond chce pomáhat dospívajícím, kteří se nacházejí v podobných situacích jako Karel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Ašenbrener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. „Zvyšování duševní gramotnosti považuji za klíčové, zároveň je nutné pracovat na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destigmatizaci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psychických problémů, protože zejména mladí kluci o svých emocích nebo problémech nemluví a mluvit nechtějí,”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vysvětluje zaměření fondu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Ašenbrenerová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B765E49" w14:textId="77777777" w:rsidR="00A07610" w:rsidRDefault="00A076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70BC2CD" w14:textId="77777777" w:rsidR="00A07610" w:rsidRDefault="00FC4E9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Průzkum Národního ústavu duševního zdraví ukazuje, že psychický stav mladých lidí je alarmující. U každého třetího deváťáka v Česku se projevují znaky, které ukazují na středně těžké až těžké úzkosti. Čtyři z deseti navíc mají známky středně těžké až těžké deprese. Podle Českého statistického úřadu si v roce 2022 v Česku vzalo život 1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302 osob. Tato statistika roste nejrychleji právě u mladých lidí. Sebevražda je nyní důvodem čtvrtiny všech úmrtí ve věkové kategorii 15 až 24 let. Psychologická péče je přitom často nákladná, dětských psychologů je navíc dlouhodobě nedostatek.  </w:t>
      </w:r>
    </w:p>
    <w:p w14:paraId="793D19B8" w14:textId="77777777" w:rsidR="00A07610" w:rsidRDefault="00A076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10B396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Právě v komunitě gamingu 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esportu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v níž Karel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Ašenbrener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vynikal, se pohybuje stále více mladých lidí. Celosvětově má už miliony fanoušků. Jednou ze společností, která se rozhodla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Foundation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podpořit, je česká loterijní jednička Sazka. Ta se v oblasti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esportu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dlouhodobě angažuje a 15. prosince pořádá charitativní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esportový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turnaj s názvem Sazka No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rivals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jehož výtěžek věnuje nově vzniklému fondu. </w:t>
      </w:r>
    </w:p>
    <w:p w14:paraId="73C65230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„Ačkoliv je duševní zdraví celospolečenským tématem, na poli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esportu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šlo dlouhou dobu o podceňované téma,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a diskuze nad ním je tak stále v plenkách. Jde proto o jedno z témat, kterému se v rámci našeho působení v 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esportu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chceme systematicky věnovat. Vznik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Foundation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může přinést zásadní a tolik potřebnou změnu. Máme velký respekt, že se rodina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Ašenbrenerových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rozhodla tento projekt spustit a nesmírně rádi jej podpoříme,“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komentuje Petr Jonák, ředitel vnějších vztahů a udržitelnosti společnosti Sazka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 dodává: „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Během turnaje Sazka No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rivals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vypíšeme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dobročinn</w:t>
      </w:r>
      <w:r>
        <w:rPr>
          <w:rFonts w:ascii="Cambria" w:eastAsia="Cambria" w:hAnsi="Cambria" w:cs="Cambria"/>
          <w:i/>
          <w:sz w:val="24"/>
          <w:szCs w:val="24"/>
        </w:rPr>
        <w:t>ou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sbírk</w:t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. Její výtěžek Sazka po skončení turnaje zdvojnásobí. Jsme připraveni poslat nadačnímu fondu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Foundation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až jeden milion korun</w:t>
      </w:r>
      <w:r>
        <w:rPr>
          <w:rFonts w:ascii="Cambria" w:eastAsia="Cambria" w:hAnsi="Cambria" w:cs="Cambria"/>
          <w:color w:val="000000"/>
          <w:sz w:val="24"/>
          <w:szCs w:val="24"/>
        </w:rPr>
        <w:t>.“</w:t>
      </w:r>
    </w:p>
    <w:p w14:paraId="1A4BED55" w14:textId="77777777" w:rsidR="00A07610" w:rsidRDefault="00FC4E93">
      <w:pPr>
        <w:spacing w:line="257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Zároveň s </w:t>
      </w:r>
      <w:proofErr w:type="spellStart"/>
      <w:r>
        <w:rPr>
          <w:rFonts w:ascii="Cambria" w:eastAsia="Cambria" w:hAnsi="Cambria" w:cs="Cambria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Foundation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spouští speciální projekt také francouzská organizace Vitality, v níž Karel </w:t>
      </w:r>
      <w:proofErr w:type="spellStart"/>
      <w:r>
        <w:rPr>
          <w:rFonts w:ascii="Cambria" w:eastAsia="Cambria" w:hAnsi="Cambria" w:cs="Cambria"/>
          <w:sz w:val="24"/>
          <w:szCs w:val="24"/>
        </w:rPr>
        <w:t>Ašenbrener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působil ve hře </w:t>
      </w:r>
      <w:proofErr w:type="spellStart"/>
      <w:r>
        <w:rPr>
          <w:rFonts w:ascii="Cambria" w:eastAsia="Cambria" w:hAnsi="Cambria" w:cs="Cambria"/>
          <w:sz w:val="24"/>
          <w:szCs w:val="24"/>
        </w:rPr>
        <w:t>Valorant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Projekt nazvaný KARE (kombinace jména Karel a anglického care neboli pečovat) se bude rovněž zaměřovat na duševní zdraví hráčů </w:t>
      </w:r>
      <w:proofErr w:type="spellStart"/>
      <w:r>
        <w:rPr>
          <w:rFonts w:ascii="Cambria" w:eastAsia="Cambria" w:hAnsi="Cambria" w:cs="Cambria"/>
          <w:sz w:val="24"/>
          <w:szCs w:val="24"/>
        </w:rPr>
        <w:t>esportu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S Nadačním fondem </w:t>
      </w:r>
      <w:proofErr w:type="spellStart"/>
      <w:r>
        <w:rPr>
          <w:rFonts w:ascii="Cambria" w:eastAsia="Cambria" w:hAnsi="Cambria" w:cs="Cambria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Foundation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plánuje úzkou spolupráci a chce ho dlouhodobě podporovat.</w:t>
      </w:r>
    </w:p>
    <w:p w14:paraId="6DDC8CF3" w14:textId="77777777" w:rsidR="00A07610" w:rsidRDefault="00A076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1183386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 více informací kontaktujte: </w:t>
      </w:r>
    </w:p>
    <w:p w14:paraId="587D6F39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Anna Buchtíková</w:t>
      </w:r>
    </w:p>
    <w:p w14:paraId="5F20CBDA" w14:textId="77777777" w:rsidR="00A07610" w:rsidRDefault="003563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8">
        <w:r w:rsidR="00FC4E93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anna.buchtikova@taktiq.com</w:t>
        </w:r>
      </w:hyperlink>
    </w:p>
    <w:p w14:paraId="0839447D" w14:textId="77777777" w:rsidR="00A07610" w:rsidRDefault="00FC4E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tel.: 722 809 764</w:t>
      </w:r>
    </w:p>
    <w:p w14:paraId="4FA778FE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6D98542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1DA1EC7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7DB7E0D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A7F96AE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BC488DF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7DC3AFEB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740D390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D012BA1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DEF4954" w14:textId="77777777" w:rsidR="003E229C" w:rsidRDefault="003E229C">
      <w:pPr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2A3941E5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sectPr w:rsidR="00A07610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75B4" w14:textId="77777777" w:rsidR="00213E7C" w:rsidRDefault="00213E7C">
      <w:pPr>
        <w:spacing w:after="0" w:line="240" w:lineRule="auto"/>
      </w:pPr>
      <w:r>
        <w:separator/>
      </w:r>
    </w:p>
  </w:endnote>
  <w:endnote w:type="continuationSeparator" w:id="0">
    <w:p w14:paraId="3A1906C5" w14:textId="77777777" w:rsidR="00213E7C" w:rsidRDefault="0021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F21C" w14:textId="77777777" w:rsidR="00A07610" w:rsidRDefault="00A07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F095" w14:textId="77777777" w:rsidR="00A07610" w:rsidRDefault="00FC4E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8E10ABF" wp14:editId="5C66160E">
              <wp:simplePos x="0" y="0"/>
              <wp:positionH relativeFrom="column">
                <wp:posOffset>1765300</wp:posOffset>
              </wp:positionH>
              <wp:positionV relativeFrom="paragraph">
                <wp:posOffset>0</wp:posOffset>
              </wp:positionV>
              <wp:extent cx="395605" cy="393700"/>
              <wp:effectExtent l="0" t="0" r="0" b="0"/>
              <wp:wrapNone/>
              <wp:docPr id="4" name="Obdélník 4" descr="Intern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7723" y="3592675"/>
                        <a:ext cx="37655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8FAAA" w14:textId="77777777" w:rsidR="00A07610" w:rsidRDefault="00FC4E9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E10ABF" id="Obdélník 4" o:spid="_x0000_s1026" alt="Interní" style="position:absolute;margin-left:139pt;margin-top:0;width:31.15pt;height:3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" filled="f" stroked="f">
              <v:textbox inset="0,0,0,15pt">
                <w:txbxContent>
                  <w:p w14:paraId="5368FAAA" w14:textId="77777777" w:rsidR="00A07610" w:rsidRDefault="00FC4E9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Interní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4C4C" w14:textId="77777777" w:rsidR="00213E7C" w:rsidRDefault="00213E7C">
      <w:pPr>
        <w:spacing w:after="0" w:line="240" w:lineRule="auto"/>
      </w:pPr>
      <w:r>
        <w:separator/>
      </w:r>
    </w:p>
  </w:footnote>
  <w:footnote w:type="continuationSeparator" w:id="0">
    <w:p w14:paraId="0D31366D" w14:textId="77777777" w:rsidR="00213E7C" w:rsidRDefault="0021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AB81" w14:textId="77777777" w:rsidR="00A07610" w:rsidRDefault="00FC4E93">
    <w:pPr>
      <w:jc w:val="center"/>
    </w:pPr>
    <w:r>
      <w:rPr>
        <w:noProof/>
      </w:rPr>
      <w:drawing>
        <wp:inline distT="114300" distB="114300" distL="114300" distR="114300" wp14:anchorId="74DEA72F" wp14:editId="1CC0BB60">
          <wp:extent cx="827250" cy="945429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250" cy="945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353727" w14:textId="77777777" w:rsidR="00A07610" w:rsidRDefault="00A076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3965"/>
    <w:multiLevelType w:val="multilevel"/>
    <w:tmpl w:val="4344D4E2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10"/>
    <w:rsid w:val="00213E7C"/>
    <w:rsid w:val="003563D9"/>
    <w:rsid w:val="003E229C"/>
    <w:rsid w:val="00A07610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9907"/>
  <w15:docId w15:val="{CA0BC1BD-435C-4EF2-B5D4-2F690DCB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</w:style>
  <w:style w:type="paragraph" w:customStyle="1" w:styleId="Normln10">
    <w:name w:val="Normální1"/>
    <w:rsid w:val="0057518F"/>
    <w:pPr>
      <w:spacing w:after="0" w:line="276" w:lineRule="auto"/>
    </w:pPr>
    <w:rPr>
      <w:rFonts w:ascii="Arial" w:eastAsia="Arial" w:hAnsi="Arial" w:cs="Arial"/>
      <w:lang w:val="cs"/>
    </w:rPr>
  </w:style>
  <w:style w:type="character" w:styleId="Odkaznakoment">
    <w:name w:val="annotation reference"/>
    <w:basedOn w:val="Standardnpsmoodstavce"/>
    <w:uiPriority w:val="99"/>
    <w:semiHidden/>
    <w:unhideWhenUsed/>
    <w:rsid w:val="0015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07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BAC"/>
  </w:style>
  <w:style w:type="paragraph" w:styleId="Zpat">
    <w:name w:val="footer"/>
    <w:basedOn w:val="Normln"/>
    <w:link w:val="ZpatChar"/>
    <w:uiPriority w:val="99"/>
    <w:unhideWhenUsed/>
    <w:rsid w:val="001E4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BAC"/>
  </w:style>
  <w:style w:type="paragraph" w:styleId="Textbubliny">
    <w:name w:val="Balloon Text"/>
    <w:basedOn w:val="Normln"/>
    <w:link w:val="TextbublinyChar"/>
    <w:uiPriority w:val="99"/>
    <w:semiHidden/>
    <w:unhideWhenUsed/>
    <w:rsid w:val="0092768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83"/>
    <w:rPr>
      <w:rFonts w:ascii="Lucida Grande CE" w:hAnsi="Lucida Grande CE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72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uchtikova@takti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zKnA84IgnKdXO5TW45ryQeZbA==">CgMxLjAyCGguZ2pkZ3hzMgloLjMwajB6bGw4AHIhMTZNNkpMVGJMRVRHSmlhOWppc1NYYWV3UFYxS3kyMGNB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Kardova</dc:creator>
  <cp:lastModifiedBy>Alex</cp:lastModifiedBy>
  <cp:revision>3</cp:revision>
  <dcterms:created xsi:type="dcterms:W3CDTF">2023-12-04T07:33:00Z</dcterms:created>
  <dcterms:modified xsi:type="dcterms:W3CDTF">2023-12-04T07:41:00Z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0x0101002F329F1D354D7F4185064AF69C32A44D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Interní</vt:lpwstr>
  </property>
</Properties>
</file>